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5CB6" w14:textId="77777777" w:rsidR="00B83318" w:rsidRDefault="00BE2989" w:rsidP="00690A60">
      <w:pPr>
        <w:jc w:val="center"/>
        <w:rPr>
          <w:rFonts w:ascii="Verdana" w:hAnsi="Verdana"/>
        </w:rPr>
      </w:pPr>
      <w:r>
        <w:rPr>
          <w:rFonts w:ascii="Verdana" w:hAnsi="Verdana"/>
          <w:b/>
          <w:sz w:val="24"/>
        </w:rPr>
        <w:t xml:space="preserve"> </w:t>
      </w:r>
      <w:r w:rsidR="00690A60">
        <w:rPr>
          <w:rFonts w:ascii="Verdana" w:hAnsi="Verdana"/>
          <w:b/>
          <w:sz w:val="24"/>
        </w:rPr>
        <w:t>Before The Unit</w:t>
      </w:r>
      <w:r w:rsidR="00B83318" w:rsidRPr="00B83318">
        <w:rPr>
          <w:rFonts w:ascii="Verdana" w:hAnsi="Verdana"/>
          <w:b/>
          <w:sz w:val="24"/>
        </w:rPr>
        <w:t xml:space="preserve">: </w:t>
      </w:r>
      <w:r w:rsidR="00B83318" w:rsidRPr="00B83318">
        <w:rPr>
          <w:rFonts w:ascii="Verdana" w:hAnsi="Verdana"/>
          <w:b/>
          <w:sz w:val="24"/>
          <w:szCs w:val="32"/>
        </w:rPr>
        <w:t xml:space="preserve">ABOUT WAR </w:t>
      </w:r>
      <w:r w:rsidR="00B83318">
        <w:rPr>
          <w:rFonts w:ascii="Verdana" w:hAnsi="Verdana"/>
          <w:noProof/>
          <w:color w:val="000000" w:themeColor="text1"/>
          <w:sz w:val="24"/>
          <w:szCs w:val="24"/>
          <w:lang w:val="en-CA" w:eastAsia="en-CA"/>
        </w:rPr>
        <mc:AlternateContent>
          <mc:Choice Requires="wps">
            <w:drawing>
              <wp:anchor distT="0" distB="0" distL="114300" distR="114300" simplePos="0" relativeHeight="251659264" behindDoc="0" locked="0" layoutInCell="1" allowOverlap="1" wp14:anchorId="25B8AC64" wp14:editId="38BA347F">
                <wp:simplePos x="0" y="0"/>
                <wp:positionH relativeFrom="column">
                  <wp:posOffset>-11430</wp:posOffset>
                </wp:positionH>
                <wp:positionV relativeFrom="paragraph">
                  <wp:posOffset>318770</wp:posOffset>
                </wp:positionV>
                <wp:extent cx="5845175" cy="0"/>
                <wp:effectExtent l="17145" t="13970" r="14605" b="14605"/>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7DB8E1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1pt" to="459.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eh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" strokecolor="#c00000" strokeweight="1.5pt"/>
            </w:pict>
          </mc:Fallback>
        </mc:AlternateContent>
      </w:r>
    </w:p>
    <w:p w14:paraId="58E96538" w14:textId="77777777" w:rsidR="00B83318" w:rsidRDefault="00B83318" w:rsidP="00B83318">
      <w:pPr>
        <w:rPr>
          <w:rFonts w:ascii="Verdana" w:hAnsi="Verdana"/>
        </w:rPr>
      </w:pPr>
    </w:p>
    <w:p w14:paraId="0CDCEA8B" w14:textId="77777777" w:rsidR="00B83318" w:rsidRPr="002B23B7" w:rsidRDefault="00B83318" w:rsidP="00B83318">
      <w:pPr>
        <w:rPr>
          <w:rFonts w:ascii="Verdana" w:hAnsi="Verdana"/>
          <w:b/>
        </w:rPr>
      </w:pPr>
      <w:r w:rsidRPr="002B23B7">
        <w:rPr>
          <w:rFonts w:ascii="Verdana" w:hAnsi="Verdana"/>
          <w:b/>
        </w:rPr>
        <w:t>THINK-PUZZLE-EXPLORE: What do you think you already know about what war is like? What questions or puzzles do you have about the direct experience of war? How might you explore these puzzles?</w:t>
      </w:r>
    </w:p>
    <w:p w14:paraId="121E8627" w14:textId="77777777" w:rsidR="00B83318" w:rsidRPr="002B23B7" w:rsidRDefault="00B83318" w:rsidP="00B83318">
      <w:pPr>
        <w:rPr>
          <w:rFonts w:ascii="Verdana" w:hAnsi="Verdana"/>
        </w:rPr>
      </w:pPr>
      <w:r w:rsidRPr="002B23B7">
        <w:rPr>
          <w:rFonts w:ascii="Verdana" w:hAnsi="Verdana"/>
        </w:rPr>
        <w:t xml:space="preserve">Purpose: </w:t>
      </w:r>
    </w:p>
    <w:p w14:paraId="380D4DBA" w14:textId="77777777" w:rsidR="00B83318" w:rsidRPr="002B23B7" w:rsidRDefault="00B83318" w:rsidP="00B83318">
      <w:pPr>
        <w:pStyle w:val="ListParagraph"/>
        <w:numPr>
          <w:ilvl w:val="0"/>
          <w:numId w:val="1"/>
        </w:numPr>
        <w:rPr>
          <w:rFonts w:ascii="Verdana" w:hAnsi="Verdana"/>
        </w:rPr>
      </w:pPr>
      <w:r w:rsidRPr="002B23B7">
        <w:rPr>
          <w:rFonts w:ascii="Verdana" w:hAnsi="Verdana"/>
        </w:rPr>
        <w:t>To encourage learners to connect to their prior knowledge, be curious and plan for further inquiry</w:t>
      </w:r>
      <w:r>
        <w:rPr>
          <w:rFonts w:ascii="Verdana" w:hAnsi="Verdana"/>
        </w:rPr>
        <w:t>;</w:t>
      </w:r>
    </w:p>
    <w:p w14:paraId="716B9DF4" w14:textId="77777777" w:rsidR="00B83318" w:rsidRPr="002B23B7" w:rsidRDefault="00B83318" w:rsidP="00B83318">
      <w:pPr>
        <w:pStyle w:val="ListParagraph"/>
        <w:numPr>
          <w:ilvl w:val="0"/>
          <w:numId w:val="1"/>
        </w:numPr>
        <w:rPr>
          <w:rFonts w:ascii="Verdana" w:hAnsi="Verdana"/>
        </w:rPr>
      </w:pPr>
      <w:r w:rsidRPr="002B23B7">
        <w:rPr>
          <w:rFonts w:ascii="Verdana" w:hAnsi="Verdana"/>
        </w:rPr>
        <w:t xml:space="preserve">To provide the teacher with a sense of the students’ current knowledge about </w:t>
      </w:r>
      <w:r>
        <w:rPr>
          <w:rFonts w:ascii="Verdana" w:hAnsi="Verdana"/>
        </w:rPr>
        <w:t xml:space="preserve">the experience of war </w:t>
      </w:r>
      <w:r w:rsidRPr="002B23B7">
        <w:rPr>
          <w:rFonts w:ascii="Verdana" w:hAnsi="Verdana"/>
        </w:rPr>
        <w:t>and as a result, modify lessons. For this reason, this activity is useful near the beginning of a unit.</w:t>
      </w:r>
    </w:p>
    <w:p w14:paraId="48977B1F" w14:textId="77777777" w:rsidR="00B83318" w:rsidRPr="002B23B7" w:rsidRDefault="00B83318" w:rsidP="00B83318">
      <w:pPr>
        <w:pStyle w:val="ListParagraph"/>
        <w:numPr>
          <w:ilvl w:val="0"/>
          <w:numId w:val="1"/>
        </w:numPr>
        <w:rPr>
          <w:rFonts w:ascii="Verdana" w:hAnsi="Verdana"/>
        </w:rPr>
      </w:pPr>
      <w:r w:rsidRPr="002B23B7">
        <w:rPr>
          <w:rFonts w:ascii="Verdana" w:hAnsi="Verdana"/>
        </w:rPr>
        <w:t xml:space="preserve">To help students </w:t>
      </w:r>
      <w:r>
        <w:rPr>
          <w:rFonts w:ascii="Verdana" w:hAnsi="Verdana"/>
        </w:rPr>
        <w:t xml:space="preserve">move </w:t>
      </w:r>
      <w:r w:rsidRPr="002B23B7">
        <w:rPr>
          <w:rFonts w:ascii="Verdana" w:hAnsi="Verdana"/>
        </w:rPr>
        <w:t>beyond facts to a broader understanding.</w:t>
      </w:r>
    </w:p>
    <w:p w14:paraId="765B3A3C" w14:textId="77777777" w:rsidR="00B83318" w:rsidRPr="002B23B7" w:rsidRDefault="00B83318" w:rsidP="00B83318">
      <w:pPr>
        <w:pStyle w:val="ListParagraph"/>
        <w:numPr>
          <w:ilvl w:val="0"/>
          <w:numId w:val="1"/>
        </w:numPr>
        <w:rPr>
          <w:rFonts w:ascii="Verdana" w:hAnsi="Verdana"/>
        </w:rPr>
      </w:pPr>
      <w:r w:rsidRPr="002B23B7">
        <w:rPr>
          <w:rFonts w:ascii="Verdana" w:hAnsi="Verdana"/>
        </w:rPr>
        <w:t xml:space="preserve">To </w:t>
      </w:r>
      <w:r>
        <w:rPr>
          <w:rFonts w:ascii="Verdana" w:hAnsi="Verdana"/>
        </w:rPr>
        <w:t>access student’s learning on the nature and experience of war</w:t>
      </w:r>
      <w:r w:rsidR="00A4015C">
        <w:rPr>
          <w:rFonts w:ascii="Verdana" w:hAnsi="Verdana"/>
        </w:rPr>
        <w:t xml:space="preserve"> from a youth/child perspective</w:t>
      </w:r>
      <w:r>
        <w:rPr>
          <w:rFonts w:ascii="Verdana" w:hAnsi="Verdana"/>
        </w:rPr>
        <w:t xml:space="preserve">. This includes </w:t>
      </w:r>
      <w:r w:rsidRPr="002B23B7">
        <w:rPr>
          <w:rFonts w:ascii="Verdana" w:hAnsi="Verdana"/>
        </w:rPr>
        <w:t xml:space="preserve">what students have learned </w:t>
      </w:r>
      <w:r>
        <w:rPr>
          <w:rFonts w:ascii="Verdana" w:hAnsi="Verdana"/>
        </w:rPr>
        <w:t>from the</w:t>
      </w:r>
      <w:r w:rsidRPr="002B23B7">
        <w:rPr>
          <w:rFonts w:ascii="Verdana" w:hAnsi="Verdana"/>
        </w:rPr>
        <w:t xml:space="preserve"> unit, what they still want to know more about, and how their learning may continue.</w:t>
      </w:r>
    </w:p>
    <w:p w14:paraId="24D6182B" w14:textId="77777777" w:rsidR="00B83318" w:rsidRPr="002B23B7" w:rsidRDefault="00B83318" w:rsidP="00B83318">
      <w:pPr>
        <w:rPr>
          <w:rFonts w:ascii="Verdana" w:hAnsi="Verdana"/>
        </w:rPr>
      </w:pPr>
      <w:r w:rsidRPr="002B23B7">
        <w:rPr>
          <w:rFonts w:ascii="Verdana" w:hAnsi="Verdana"/>
        </w:rPr>
        <w:t>Steps:</w:t>
      </w:r>
    </w:p>
    <w:p w14:paraId="4469F393" w14:textId="77777777" w:rsidR="00B83318" w:rsidRPr="002B23B7" w:rsidRDefault="00B83318" w:rsidP="00B83318">
      <w:pPr>
        <w:pStyle w:val="ListParagraph"/>
        <w:numPr>
          <w:ilvl w:val="0"/>
          <w:numId w:val="2"/>
        </w:numPr>
        <w:rPr>
          <w:rFonts w:ascii="Verdana" w:hAnsi="Verdana"/>
        </w:rPr>
      </w:pPr>
      <w:r w:rsidRPr="002B23B7">
        <w:rPr>
          <w:rFonts w:ascii="Verdana" w:hAnsi="Verdana"/>
          <w:i/>
        </w:rPr>
        <w:t xml:space="preserve">Collect statements </w:t>
      </w:r>
      <w:r w:rsidRPr="002B23B7">
        <w:rPr>
          <w:rFonts w:ascii="Verdana" w:hAnsi="Verdana"/>
        </w:rPr>
        <w:t xml:space="preserve">expressing what learners think they know.  “What </w:t>
      </w:r>
      <w:r>
        <w:rPr>
          <w:rFonts w:ascii="Verdana" w:hAnsi="Verdana"/>
        </w:rPr>
        <w:t xml:space="preserve">have </w:t>
      </w:r>
      <w:proofErr w:type="gramStart"/>
      <w:r>
        <w:rPr>
          <w:rFonts w:ascii="Verdana" w:hAnsi="Verdana"/>
        </w:rPr>
        <w:t>you</w:t>
      </w:r>
      <w:proofErr w:type="gramEnd"/>
      <w:r>
        <w:rPr>
          <w:rFonts w:ascii="Verdana" w:hAnsi="Verdana"/>
        </w:rPr>
        <w:t xml:space="preserve"> learned </w:t>
      </w:r>
      <w:r w:rsidRPr="002B23B7">
        <w:rPr>
          <w:rFonts w:ascii="Verdana" w:hAnsi="Verdana"/>
        </w:rPr>
        <w:t xml:space="preserve">about </w:t>
      </w:r>
      <w:r>
        <w:rPr>
          <w:rFonts w:ascii="Verdana" w:hAnsi="Verdana"/>
        </w:rPr>
        <w:t>war from the perspective of young people who have this direct experience?”</w:t>
      </w:r>
      <w:r w:rsidRPr="002B23B7">
        <w:rPr>
          <w:rFonts w:ascii="Verdana" w:hAnsi="Verdana"/>
        </w:rPr>
        <w:t xml:space="preserve">    </w:t>
      </w:r>
    </w:p>
    <w:p w14:paraId="2FB232F5" w14:textId="45FE0534" w:rsidR="00B83318" w:rsidRPr="002B23B7" w:rsidRDefault="00B83318" w:rsidP="00B83318">
      <w:pPr>
        <w:pStyle w:val="ListParagraph"/>
        <w:numPr>
          <w:ilvl w:val="0"/>
          <w:numId w:val="2"/>
        </w:numPr>
        <w:rPr>
          <w:rFonts w:ascii="Verdana" w:hAnsi="Verdana"/>
        </w:rPr>
      </w:pPr>
      <w:r w:rsidRPr="002B23B7">
        <w:rPr>
          <w:rFonts w:ascii="Verdana" w:hAnsi="Verdana"/>
          <w:i/>
        </w:rPr>
        <w:t xml:space="preserve">Collect puzzles: </w:t>
      </w:r>
      <w:r w:rsidRPr="002B23B7">
        <w:rPr>
          <w:rFonts w:ascii="Verdana" w:hAnsi="Verdana"/>
        </w:rPr>
        <w:t>“What would you like to learn more about?”  “What are you wondering about?” “What makes you</w:t>
      </w:r>
      <w:bookmarkStart w:id="0" w:name="_GoBack"/>
      <w:bookmarkEnd w:id="0"/>
      <w:r w:rsidRPr="002B23B7">
        <w:rPr>
          <w:rFonts w:ascii="Verdana" w:hAnsi="Verdana"/>
        </w:rPr>
        <w:t xml:space="preserve"> curious?”  </w:t>
      </w:r>
    </w:p>
    <w:p w14:paraId="6259B1B3" w14:textId="77777777" w:rsidR="00B83318" w:rsidRPr="002B23B7" w:rsidRDefault="00B83318" w:rsidP="00B83318">
      <w:pPr>
        <w:pStyle w:val="ListParagraph"/>
        <w:numPr>
          <w:ilvl w:val="0"/>
          <w:numId w:val="2"/>
        </w:numPr>
        <w:rPr>
          <w:rFonts w:ascii="Verdana" w:hAnsi="Verdana"/>
          <w:i/>
        </w:rPr>
      </w:pPr>
      <w:r w:rsidRPr="002B23B7">
        <w:rPr>
          <w:rFonts w:ascii="Verdana" w:hAnsi="Verdana"/>
          <w:i/>
        </w:rPr>
        <w:t xml:space="preserve">Ask, “How can we explore these puzzles?” </w:t>
      </w:r>
      <w:r w:rsidRPr="002B23B7">
        <w:rPr>
          <w:rFonts w:ascii="Verdana" w:hAnsi="Verdana"/>
        </w:rPr>
        <w:t>“Where could be get further information?”  “What key words would you use in your search?” ”Other than looking up information, what else could we do to answer our puzzles?”</w:t>
      </w:r>
    </w:p>
    <w:p w14:paraId="260311EC" w14:textId="77777777" w:rsidR="00B83318" w:rsidRPr="002B23B7" w:rsidRDefault="00B83318" w:rsidP="00B83318">
      <w:pPr>
        <w:pStyle w:val="ListParagraph"/>
        <w:numPr>
          <w:ilvl w:val="0"/>
          <w:numId w:val="2"/>
        </w:numPr>
        <w:rPr>
          <w:rFonts w:ascii="Verdana" w:hAnsi="Verdana"/>
        </w:rPr>
      </w:pPr>
      <w:r w:rsidRPr="002B23B7">
        <w:rPr>
          <w:rFonts w:ascii="Verdana" w:hAnsi="Verdana"/>
          <w:i/>
        </w:rPr>
        <w:t xml:space="preserve">Group together puzzles with similar themes or connections. </w:t>
      </w:r>
      <w:r w:rsidRPr="002B23B7">
        <w:rPr>
          <w:rFonts w:ascii="Verdana" w:hAnsi="Verdana"/>
        </w:rPr>
        <w:t>Keep this list posted and refer to it through the instruction to note when puzzles are solved.</w:t>
      </w:r>
    </w:p>
    <w:p w14:paraId="5ED341CE" w14:textId="77777777" w:rsidR="00B83318" w:rsidRPr="00B83318" w:rsidRDefault="00B83318" w:rsidP="00B83318">
      <w:pPr>
        <w:rPr>
          <w:rFonts w:ascii="Verdana" w:hAnsi="Verdana"/>
          <w:sz w:val="20"/>
        </w:rPr>
      </w:pPr>
    </w:p>
    <w:p w14:paraId="69906914" w14:textId="77777777" w:rsidR="00B83318" w:rsidRPr="00B83318" w:rsidRDefault="00B83318" w:rsidP="00B83318">
      <w:pPr>
        <w:ind w:left="426" w:hanging="426"/>
        <w:rPr>
          <w:rFonts w:ascii="Verdana" w:hAnsi="Verdana"/>
          <w:sz w:val="20"/>
        </w:rPr>
      </w:pPr>
      <w:r w:rsidRPr="00062CEA">
        <w:rPr>
          <w:rFonts w:ascii="Verdana" w:hAnsi="Verdana"/>
          <w:b/>
          <w:sz w:val="20"/>
        </w:rPr>
        <w:t>Source:</w:t>
      </w:r>
      <w:r w:rsidRPr="00B83318">
        <w:rPr>
          <w:rFonts w:ascii="Verdana" w:hAnsi="Verdana"/>
          <w:sz w:val="20"/>
        </w:rPr>
        <w:t xml:space="preserve"> </w:t>
      </w:r>
      <w:r>
        <w:rPr>
          <w:rFonts w:ascii="Verdana" w:hAnsi="Verdana"/>
          <w:sz w:val="20"/>
        </w:rPr>
        <w:t xml:space="preserve">The protocol Think-Puzzle-explore is found in </w:t>
      </w:r>
      <w:r w:rsidRPr="00B83318">
        <w:rPr>
          <w:rFonts w:ascii="Verdana" w:hAnsi="Verdana"/>
          <w:sz w:val="20"/>
        </w:rPr>
        <w:t xml:space="preserve">Church, M, Morrison, K. &amp; </w:t>
      </w:r>
      <w:proofErr w:type="spellStart"/>
      <w:r w:rsidRPr="00B83318">
        <w:rPr>
          <w:rFonts w:ascii="Verdana" w:hAnsi="Verdana"/>
          <w:sz w:val="20"/>
        </w:rPr>
        <w:t>Ritchhart</w:t>
      </w:r>
      <w:proofErr w:type="spellEnd"/>
      <w:r w:rsidRPr="00B83318">
        <w:rPr>
          <w:rFonts w:ascii="Verdana" w:hAnsi="Verdana"/>
          <w:sz w:val="20"/>
        </w:rPr>
        <w:t xml:space="preserve">, </w:t>
      </w:r>
      <w:r>
        <w:rPr>
          <w:rFonts w:ascii="Verdana" w:hAnsi="Verdana"/>
          <w:sz w:val="20"/>
        </w:rPr>
        <w:tab/>
        <w:t xml:space="preserve"> </w:t>
      </w:r>
      <w:r>
        <w:rPr>
          <w:rFonts w:ascii="Verdana" w:hAnsi="Verdana"/>
          <w:sz w:val="20"/>
        </w:rPr>
        <w:tab/>
        <w:t xml:space="preserve">   </w:t>
      </w:r>
      <w:r w:rsidRPr="00B83318">
        <w:rPr>
          <w:rFonts w:ascii="Verdana" w:hAnsi="Verdana"/>
          <w:sz w:val="20"/>
        </w:rPr>
        <w:t xml:space="preserve">R. (2011). </w:t>
      </w:r>
      <w:r w:rsidRPr="00B83318">
        <w:rPr>
          <w:rFonts w:ascii="Verdana" w:hAnsi="Verdana"/>
          <w:i/>
          <w:sz w:val="20"/>
        </w:rPr>
        <w:t>Making Thinking Visible: How to Promote Engagemen</w:t>
      </w:r>
      <w:r>
        <w:rPr>
          <w:rFonts w:ascii="Verdana" w:hAnsi="Verdana"/>
          <w:i/>
          <w:sz w:val="20"/>
        </w:rPr>
        <w:t xml:space="preserve">t, </w:t>
      </w:r>
      <w:r w:rsidRPr="00B83318">
        <w:rPr>
          <w:rFonts w:ascii="Verdana" w:hAnsi="Verdana"/>
          <w:i/>
          <w:sz w:val="20"/>
        </w:rPr>
        <w:t xml:space="preserve">Understanding </w:t>
      </w:r>
      <w:r>
        <w:rPr>
          <w:rFonts w:ascii="Verdana" w:hAnsi="Verdana"/>
          <w:i/>
          <w:sz w:val="20"/>
        </w:rPr>
        <w:tab/>
        <w:t xml:space="preserve">  </w:t>
      </w:r>
      <w:r>
        <w:rPr>
          <w:rFonts w:ascii="Verdana" w:hAnsi="Verdana"/>
          <w:i/>
          <w:sz w:val="20"/>
        </w:rPr>
        <w:tab/>
        <w:t xml:space="preserve"> </w:t>
      </w:r>
      <w:r w:rsidR="00134B08">
        <w:rPr>
          <w:rFonts w:ascii="Verdana" w:hAnsi="Verdana"/>
          <w:i/>
          <w:sz w:val="20"/>
        </w:rPr>
        <w:t xml:space="preserve"> </w:t>
      </w:r>
      <w:r>
        <w:rPr>
          <w:rFonts w:ascii="Verdana" w:hAnsi="Verdana"/>
          <w:i/>
          <w:sz w:val="20"/>
        </w:rPr>
        <w:t xml:space="preserve"> </w:t>
      </w:r>
      <w:r w:rsidRPr="00B83318">
        <w:rPr>
          <w:rFonts w:ascii="Verdana" w:hAnsi="Verdana"/>
          <w:i/>
          <w:sz w:val="20"/>
        </w:rPr>
        <w:t xml:space="preserve">and Independence for All Learners. </w:t>
      </w:r>
      <w:r w:rsidRPr="00B83318">
        <w:rPr>
          <w:rFonts w:ascii="Verdana" w:hAnsi="Verdana"/>
          <w:sz w:val="20"/>
        </w:rPr>
        <w:t xml:space="preserve">San Francisco: </w:t>
      </w:r>
      <w:proofErr w:type="spellStart"/>
      <w:r w:rsidRPr="00B83318">
        <w:rPr>
          <w:rFonts w:ascii="Verdana" w:hAnsi="Verdana"/>
          <w:sz w:val="20"/>
        </w:rPr>
        <w:t>Jossey</w:t>
      </w:r>
      <w:proofErr w:type="spellEnd"/>
      <w:r w:rsidRPr="00B83318">
        <w:rPr>
          <w:rFonts w:ascii="Verdana" w:hAnsi="Verdana"/>
          <w:sz w:val="20"/>
        </w:rPr>
        <w:t>-Bass.</w:t>
      </w:r>
    </w:p>
    <w:p w14:paraId="641C1E06" w14:textId="77777777" w:rsidR="00016AB6" w:rsidRDefault="00016AB6"/>
    <w:sectPr w:rsidR="00016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B5D42"/>
    <w:multiLevelType w:val="hybridMultilevel"/>
    <w:tmpl w:val="0BD0AAFC"/>
    <w:lvl w:ilvl="0" w:tplc="3B7091D2">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593663C"/>
    <w:multiLevelType w:val="hybridMultilevel"/>
    <w:tmpl w:val="C4B28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18"/>
    <w:rsid w:val="00016AB6"/>
    <w:rsid w:val="00062CEA"/>
    <w:rsid w:val="00134B08"/>
    <w:rsid w:val="00690A60"/>
    <w:rsid w:val="007001E5"/>
    <w:rsid w:val="00A4015C"/>
    <w:rsid w:val="00B83318"/>
    <w:rsid w:val="00BE29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5E25"/>
  <w15:chartTrackingRefBased/>
  <w15:docId w15:val="{0A6DAE76-747D-46C9-94C0-AE67DAB9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31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18"/>
    <w:pPr>
      <w:spacing w:after="160" w:line="259" w:lineRule="auto"/>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dc:creator>
  <cp:keywords/>
  <dc:description/>
  <cp:lastModifiedBy>Judi</cp:lastModifiedBy>
  <cp:revision>7</cp:revision>
  <dcterms:created xsi:type="dcterms:W3CDTF">2016-08-03T17:47:00Z</dcterms:created>
  <dcterms:modified xsi:type="dcterms:W3CDTF">2016-11-11T14:41:00Z</dcterms:modified>
</cp:coreProperties>
</file>